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741C93" w14:textId="77777777" w:rsidR="00C96348" w:rsidRPr="00C96348" w:rsidRDefault="00C96348" w:rsidP="00C96348">
      <w:r w:rsidRPr="00C96348">
        <w:rPr>
          <w:b/>
          <w:bCs/>
        </w:rPr>
        <w:t>Chapter 5: Compensation &amp; Benefits Strategy</w:t>
      </w:r>
    </w:p>
    <w:p w14:paraId="4578E00F" w14:textId="77777777" w:rsidR="00C96348" w:rsidRPr="00C96348" w:rsidRDefault="00C96348" w:rsidP="00C96348">
      <w:r w:rsidRPr="00C96348">
        <w:pict w14:anchorId="206560DC">
          <v:rect id="_x0000_i1079" style="width:0;height:1.5pt" o:hralign="center" o:hrstd="t" o:hr="t" fillcolor="#a0a0a0" stroked="f"/>
        </w:pict>
      </w:r>
    </w:p>
    <w:p w14:paraId="4938832E" w14:textId="77777777" w:rsidR="00C96348" w:rsidRPr="00C96348" w:rsidRDefault="00C96348" w:rsidP="00C96348">
      <w:pPr>
        <w:rPr>
          <w:b/>
          <w:bCs/>
        </w:rPr>
      </w:pPr>
      <w:r w:rsidRPr="00C96348">
        <w:rPr>
          <w:b/>
          <w:bCs/>
        </w:rPr>
        <w:t>Introduction</w:t>
      </w:r>
    </w:p>
    <w:p w14:paraId="180D4C7D" w14:textId="77777777" w:rsidR="00C96348" w:rsidRPr="00C96348" w:rsidRDefault="00C96348" w:rsidP="00C96348">
      <w:r w:rsidRPr="00C96348">
        <w:t>A well-designed compensation and benefits strategy is one of the most powerful tools for attracting, retaining, and motivating talent. For senior HR professionals, compensation goes beyond paychecks—it's a strategic function that supports organizational goals, drives performance, and reinforces company values. This chapter explores how to design, implement, and manage compensation and benefits programs that align with business objectives and meet the needs of a diverse workforce.</w:t>
      </w:r>
    </w:p>
    <w:p w14:paraId="513C038B" w14:textId="77777777" w:rsidR="00C96348" w:rsidRPr="00C96348" w:rsidRDefault="00C96348" w:rsidP="00C96348">
      <w:r w:rsidRPr="00C96348">
        <w:pict w14:anchorId="6C41AC70">
          <v:rect id="_x0000_i1080" style="width:0;height:1.5pt" o:hralign="center" o:hrstd="t" o:hr="t" fillcolor="#a0a0a0" stroked="f"/>
        </w:pict>
      </w:r>
    </w:p>
    <w:p w14:paraId="0660C4D1" w14:textId="77777777" w:rsidR="00C96348" w:rsidRPr="00C96348" w:rsidRDefault="00C96348" w:rsidP="00C96348">
      <w:pPr>
        <w:rPr>
          <w:b/>
          <w:bCs/>
        </w:rPr>
      </w:pPr>
      <w:r w:rsidRPr="00C96348">
        <w:rPr>
          <w:b/>
          <w:bCs/>
        </w:rPr>
        <w:t>The Strategic Role of Compensation</w:t>
      </w:r>
    </w:p>
    <w:p w14:paraId="496B26D2" w14:textId="77777777" w:rsidR="00C96348" w:rsidRPr="00C96348" w:rsidRDefault="00C96348" w:rsidP="00C96348">
      <w:r w:rsidRPr="00C96348">
        <w:t>Compensation is more than just salary—it includes the total rewards employees receive in exchange for their contributions. A strategic approach to compensation:</w:t>
      </w:r>
    </w:p>
    <w:p w14:paraId="2EBD162A" w14:textId="77777777" w:rsidR="00C96348" w:rsidRPr="00C96348" w:rsidRDefault="00C96348" w:rsidP="00C96348">
      <w:pPr>
        <w:numPr>
          <w:ilvl w:val="0"/>
          <w:numId w:val="1"/>
        </w:numPr>
      </w:pPr>
      <w:r w:rsidRPr="00C96348">
        <w:t>Aligns pay with organizational performance and priorities</w:t>
      </w:r>
    </w:p>
    <w:p w14:paraId="270814DD" w14:textId="77777777" w:rsidR="00C96348" w:rsidRPr="00C96348" w:rsidRDefault="00C96348" w:rsidP="00C96348">
      <w:pPr>
        <w:numPr>
          <w:ilvl w:val="0"/>
          <w:numId w:val="1"/>
        </w:numPr>
      </w:pPr>
      <w:r w:rsidRPr="00C96348">
        <w:t>Supports recruitment and retention of top talent</w:t>
      </w:r>
    </w:p>
    <w:p w14:paraId="7C152053" w14:textId="77777777" w:rsidR="00C96348" w:rsidRPr="00C96348" w:rsidRDefault="00C96348" w:rsidP="00C96348">
      <w:pPr>
        <w:numPr>
          <w:ilvl w:val="0"/>
          <w:numId w:val="1"/>
        </w:numPr>
      </w:pPr>
      <w:r w:rsidRPr="00C96348">
        <w:t>Reinforces desired behaviors and outcomes</w:t>
      </w:r>
    </w:p>
    <w:p w14:paraId="5185F947" w14:textId="77777777" w:rsidR="00C96348" w:rsidRPr="00C96348" w:rsidRDefault="00C96348" w:rsidP="00C96348">
      <w:pPr>
        <w:numPr>
          <w:ilvl w:val="0"/>
          <w:numId w:val="1"/>
        </w:numPr>
      </w:pPr>
      <w:r w:rsidRPr="00C96348">
        <w:t>Promotes fairness, equity, and transparency</w:t>
      </w:r>
    </w:p>
    <w:p w14:paraId="1BB8ECA4" w14:textId="77777777" w:rsidR="00C96348" w:rsidRPr="00C96348" w:rsidRDefault="00C96348" w:rsidP="00C96348">
      <w:r w:rsidRPr="00C96348">
        <w:t>Senior HR leaders must regularly evaluate market trends, internal equity, and the impact of compensation on engagement and productivity.</w:t>
      </w:r>
    </w:p>
    <w:p w14:paraId="205B0CDF" w14:textId="77777777" w:rsidR="00C96348" w:rsidRPr="00C96348" w:rsidRDefault="00C96348" w:rsidP="00C96348">
      <w:r w:rsidRPr="00C96348">
        <w:pict w14:anchorId="2E8140B2">
          <v:rect id="_x0000_i1081" style="width:0;height:1.5pt" o:hralign="center" o:hrstd="t" o:hr="t" fillcolor="#a0a0a0" stroked="f"/>
        </w:pict>
      </w:r>
    </w:p>
    <w:p w14:paraId="600990D1" w14:textId="77777777" w:rsidR="00C96348" w:rsidRPr="00C96348" w:rsidRDefault="00C96348" w:rsidP="00C96348">
      <w:pPr>
        <w:rPr>
          <w:b/>
          <w:bCs/>
        </w:rPr>
      </w:pPr>
      <w:r w:rsidRPr="00C96348">
        <w:rPr>
          <w:b/>
          <w:bCs/>
        </w:rPr>
        <w:t>Components of a Total Rewards Strategy</w:t>
      </w:r>
    </w:p>
    <w:p w14:paraId="6A05788A" w14:textId="77777777" w:rsidR="00C96348" w:rsidRPr="00C96348" w:rsidRDefault="00C96348" w:rsidP="00C96348">
      <w:r w:rsidRPr="00C96348">
        <w:t>A comprehensive compensation and benefits package includes:</w:t>
      </w:r>
    </w:p>
    <w:p w14:paraId="6EEE456F" w14:textId="77777777" w:rsidR="00C96348" w:rsidRPr="00C96348" w:rsidRDefault="00C96348" w:rsidP="00C96348">
      <w:pPr>
        <w:numPr>
          <w:ilvl w:val="0"/>
          <w:numId w:val="2"/>
        </w:numPr>
      </w:pPr>
      <w:r w:rsidRPr="00C96348">
        <w:rPr>
          <w:b/>
          <w:bCs/>
        </w:rPr>
        <w:t>Base Pay:</w:t>
      </w:r>
      <w:r w:rsidRPr="00C96348">
        <w:t xml:space="preserve"> Fixed salary or hourly wages</w:t>
      </w:r>
    </w:p>
    <w:p w14:paraId="45EAA477" w14:textId="77777777" w:rsidR="00C96348" w:rsidRPr="00C96348" w:rsidRDefault="00C96348" w:rsidP="00C96348">
      <w:pPr>
        <w:numPr>
          <w:ilvl w:val="0"/>
          <w:numId w:val="2"/>
        </w:numPr>
      </w:pPr>
      <w:r w:rsidRPr="00C96348">
        <w:rPr>
          <w:b/>
          <w:bCs/>
        </w:rPr>
        <w:t>Variable Pay:</w:t>
      </w:r>
      <w:r w:rsidRPr="00C96348">
        <w:t xml:space="preserve"> Bonuses, commissions, and incentive pay</w:t>
      </w:r>
    </w:p>
    <w:p w14:paraId="55B44DDC" w14:textId="77777777" w:rsidR="00C96348" w:rsidRPr="00C96348" w:rsidRDefault="00C96348" w:rsidP="00C96348">
      <w:pPr>
        <w:numPr>
          <w:ilvl w:val="0"/>
          <w:numId w:val="2"/>
        </w:numPr>
      </w:pPr>
      <w:r w:rsidRPr="00C96348">
        <w:rPr>
          <w:b/>
          <w:bCs/>
        </w:rPr>
        <w:t>Benefits:</w:t>
      </w:r>
      <w:r w:rsidRPr="00C96348">
        <w:t xml:space="preserve"> Health insurance, retirement plans, wellness programs</w:t>
      </w:r>
    </w:p>
    <w:p w14:paraId="011BC898" w14:textId="77777777" w:rsidR="00C96348" w:rsidRPr="00C96348" w:rsidRDefault="00C96348" w:rsidP="00C96348">
      <w:pPr>
        <w:numPr>
          <w:ilvl w:val="0"/>
          <w:numId w:val="2"/>
        </w:numPr>
      </w:pPr>
      <w:r w:rsidRPr="00C96348">
        <w:rPr>
          <w:b/>
          <w:bCs/>
        </w:rPr>
        <w:t>Recognition Programs:</w:t>
      </w:r>
      <w:r w:rsidRPr="00C96348">
        <w:t xml:space="preserve"> Non-monetary rewards and employee appreciation</w:t>
      </w:r>
    </w:p>
    <w:p w14:paraId="21EB1044" w14:textId="77777777" w:rsidR="00C96348" w:rsidRPr="00C96348" w:rsidRDefault="00C96348" w:rsidP="00C96348">
      <w:pPr>
        <w:numPr>
          <w:ilvl w:val="0"/>
          <w:numId w:val="2"/>
        </w:numPr>
      </w:pPr>
      <w:r w:rsidRPr="00C96348">
        <w:rPr>
          <w:b/>
          <w:bCs/>
        </w:rPr>
        <w:t>Perks:</w:t>
      </w:r>
      <w:r w:rsidRPr="00C96348">
        <w:t xml:space="preserve"> Flexible schedules, remote work, tuition assistance, and more</w:t>
      </w:r>
    </w:p>
    <w:p w14:paraId="51DBB827" w14:textId="77777777" w:rsidR="00C96348" w:rsidRPr="00C96348" w:rsidRDefault="00C96348" w:rsidP="00C96348">
      <w:r w:rsidRPr="00C96348">
        <w:t>Balancing these elements helps meet diverse employee needs and expectations.</w:t>
      </w:r>
    </w:p>
    <w:p w14:paraId="75347F07" w14:textId="77777777" w:rsidR="00C96348" w:rsidRPr="00C96348" w:rsidRDefault="00C96348" w:rsidP="00C96348">
      <w:r w:rsidRPr="00C96348">
        <w:lastRenderedPageBreak/>
        <w:pict w14:anchorId="2F9BB7D2">
          <v:rect id="_x0000_i1082" style="width:0;height:1.5pt" o:hralign="center" o:hrstd="t" o:hr="t" fillcolor="#a0a0a0" stroked="f"/>
        </w:pict>
      </w:r>
    </w:p>
    <w:p w14:paraId="79FA2361" w14:textId="77777777" w:rsidR="00C96348" w:rsidRPr="00C96348" w:rsidRDefault="00C96348" w:rsidP="00C96348">
      <w:pPr>
        <w:rPr>
          <w:b/>
          <w:bCs/>
        </w:rPr>
      </w:pPr>
      <w:r w:rsidRPr="00C96348">
        <w:rPr>
          <w:b/>
          <w:bCs/>
        </w:rPr>
        <w:t>Pay Equity and Compliance</w:t>
      </w:r>
    </w:p>
    <w:p w14:paraId="0C2C398D" w14:textId="77777777" w:rsidR="00C96348" w:rsidRPr="00C96348" w:rsidRDefault="00C96348" w:rsidP="00C96348">
      <w:r w:rsidRPr="00C96348">
        <w:t>Ensuring fairness and legal compliance in compensation is essential. HR must:</w:t>
      </w:r>
    </w:p>
    <w:p w14:paraId="17A88CB3" w14:textId="77777777" w:rsidR="00C96348" w:rsidRPr="00C96348" w:rsidRDefault="00C96348" w:rsidP="00C96348">
      <w:pPr>
        <w:numPr>
          <w:ilvl w:val="0"/>
          <w:numId w:val="3"/>
        </w:numPr>
      </w:pPr>
      <w:r w:rsidRPr="00C96348">
        <w:t>Conduct regular pay equity audits</w:t>
      </w:r>
    </w:p>
    <w:p w14:paraId="382A6487" w14:textId="77777777" w:rsidR="00C96348" w:rsidRPr="00C96348" w:rsidRDefault="00C96348" w:rsidP="00C96348">
      <w:pPr>
        <w:numPr>
          <w:ilvl w:val="0"/>
          <w:numId w:val="3"/>
        </w:numPr>
      </w:pPr>
      <w:r w:rsidRPr="00C96348">
        <w:t>Eliminate bias in compensation decisions</w:t>
      </w:r>
    </w:p>
    <w:p w14:paraId="4D5F5D0B" w14:textId="77777777" w:rsidR="00C96348" w:rsidRPr="00C96348" w:rsidRDefault="00C96348" w:rsidP="00C96348">
      <w:pPr>
        <w:numPr>
          <w:ilvl w:val="0"/>
          <w:numId w:val="3"/>
        </w:numPr>
      </w:pPr>
      <w:r w:rsidRPr="00C96348">
        <w:t>Comply with laws such as the Equal Pay Act, FLSA, and state-specific wage laws</w:t>
      </w:r>
    </w:p>
    <w:p w14:paraId="5E814C35" w14:textId="77777777" w:rsidR="00C96348" w:rsidRPr="00C96348" w:rsidRDefault="00C96348" w:rsidP="00C96348">
      <w:pPr>
        <w:numPr>
          <w:ilvl w:val="0"/>
          <w:numId w:val="3"/>
        </w:numPr>
      </w:pPr>
      <w:r w:rsidRPr="00C96348">
        <w:t>Maintain transparent and consistent pay structures</w:t>
      </w:r>
    </w:p>
    <w:p w14:paraId="21556599" w14:textId="77777777" w:rsidR="00C96348" w:rsidRPr="00C96348" w:rsidRDefault="00C96348" w:rsidP="00C96348">
      <w:r w:rsidRPr="00C96348">
        <w:t>Equitable pay practices build trust and reduce legal and reputational risk.</w:t>
      </w:r>
    </w:p>
    <w:p w14:paraId="642757FA" w14:textId="77777777" w:rsidR="00C96348" w:rsidRPr="00C96348" w:rsidRDefault="00C96348" w:rsidP="00C96348">
      <w:r w:rsidRPr="00C96348">
        <w:pict w14:anchorId="03E7ADE3">
          <v:rect id="_x0000_i1083" style="width:0;height:1.5pt" o:hralign="center" o:hrstd="t" o:hr="t" fillcolor="#a0a0a0" stroked="f"/>
        </w:pict>
      </w:r>
    </w:p>
    <w:p w14:paraId="5466F0E7" w14:textId="77777777" w:rsidR="00C96348" w:rsidRPr="00C96348" w:rsidRDefault="00C96348" w:rsidP="00C96348">
      <w:pPr>
        <w:rPr>
          <w:b/>
          <w:bCs/>
        </w:rPr>
      </w:pPr>
      <w:r w:rsidRPr="00C96348">
        <w:rPr>
          <w:b/>
          <w:bCs/>
        </w:rPr>
        <w:t>Executive Compensation</w:t>
      </w:r>
    </w:p>
    <w:p w14:paraId="0C34BB04" w14:textId="77777777" w:rsidR="00C96348" w:rsidRPr="00C96348" w:rsidRDefault="00C96348" w:rsidP="00C96348">
      <w:r w:rsidRPr="00C96348">
        <w:t>Senior HR professionals often play a role in structuring executive pay packages. These may include:</w:t>
      </w:r>
    </w:p>
    <w:p w14:paraId="5DF74DE9" w14:textId="77777777" w:rsidR="00C96348" w:rsidRPr="00C96348" w:rsidRDefault="00C96348" w:rsidP="00C96348">
      <w:pPr>
        <w:numPr>
          <w:ilvl w:val="0"/>
          <w:numId w:val="4"/>
        </w:numPr>
      </w:pPr>
      <w:r w:rsidRPr="00C96348">
        <w:t>Base salary and performance bonuses</w:t>
      </w:r>
    </w:p>
    <w:p w14:paraId="7374CC17" w14:textId="77777777" w:rsidR="00C96348" w:rsidRPr="00C96348" w:rsidRDefault="00C96348" w:rsidP="00C96348">
      <w:pPr>
        <w:numPr>
          <w:ilvl w:val="0"/>
          <w:numId w:val="4"/>
        </w:numPr>
      </w:pPr>
      <w:r w:rsidRPr="00C96348">
        <w:t>Stock options or equity grants</w:t>
      </w:r>
    </w:p>
    <w:p w14:paraId="62C69680" w14:textId="77777777" w:rsidR="00C96348" w:rsidRPr="00C96348" w:rsidRDefault="00C96348" w:rsidP="00C96348">
      <w:pPr>
        <w:numPr>
          <w:ilvl w:val="0"/>
          <w:numId w:val="4"/>
        </w:numPr>
      </w:pPr>
      <w:r w:rsidRPr="00C96348">
        <w:t>Deferred compensation plans</w:t>
      </w:r>
    </w:p>
    <w:p w14:paraId="778887FC" w14:textId="77777777" w:rsidR="00C96348" w:rsidRPr="00C96348" w:rsidRDefault="00C96348" w:rsidP="00C96348">
      <w:pPr>
        <w:numPr>
          <w:ilvl w:val="0"/>
          <w:numId w:val="4"/>
        </w:numPr>
      </w:pPr>
      <w:r w:rsidRPr="00C96348">
        <w:t>Long-term incentive plans (LTIPs)</w:t>
      </w:r>
    </w:p>
    <w:p w14:paraId="4BD5C66F" w14:textId="77777777" w:rsidR="00C96348" w:rsidRPr="00C96348" w:rsidRDefault="00C96348" w:rsidP="00C96348">
      <w:r w:rsidRPr="00C96348">
        <w:t>Executive compensation should align with long-term business performance and shareholder value while adhering to governance standards.</w:t>
      </w:r>
    </w:p>
    <w:p w14:paraId="632A5BC6" w14:textId="77777777" w:rsidR="00C96348" w:rsidRPr="00C96348" w:rsidRDefault="00C96348" w:rsidP="00C96348">
      <w:r w:rsidRPr="00C96348">
        <w:pict w14:anchorId="6A069296">
          <v:rect id="_x0000_i1084" style="width:0;height:1.5pt" o:hralign="center" o:hrstd="t" o:hr="t" fillcolor="#a0a0a0" stroked="f"/>
        </w:pict>
      </w:r>
    </w:p>
    <w:p w14:paraId="6B0FB7C2" w14:textId="77777777" w:rsidR="00C96348" w:rsidRPr="00C96348" w:rsidRDefault="00C96348" w:rsidP="00C96348">
      <w:pPr>
        <w:rPr>
          <w:b/>
          <w:bCs/>
        </w:rPr>
      </w:pPr>
      <w:r w:rsidRPr="00C96348">
        <w:rPr>
          <w:b/>
          <w:bCs/>
        </w:rPr>
        <w:t>Benefits Strategy and Cost Containment</w:t>
      </w:r>
    </w:p>
    <w:p w14:paraId="55097ED8" w14:textId="77777777" w:rsidR="00C96348" w:rsidRPr="00C96348" w:rsidRDefault="00C96348" w:rsidP="00C96348">
      <w:r w:rsidRPr="00C96348">
        <w:t>Benefits are a key differentiator in the employment value proposition. HR leaders must:</w:t>
      </w:r>
    </w:p>
    <w:p w14:paraId="6853F790" w14:textId="77777777" w:rsidR="00C96348" w:rsidRPr="00C96348" w:rsidRDefault="00C96348" w:rsidP="00C96348">
      <w:pPr>
        <w:numPr>
          <w:ilvl w:val="0"/>
          <w:numId w:val="5"/>
        </w:numPr>
      </w:pPr>
      <w:r w:rsidRPr="00C96348">
        <w:t>Offer competitive, inclusive, and relevant benefit options</w:t>
      </w:r>
    </w:p>
    <w:p w14:paraId="784D3A02" w14:textId="77777777" w:rsidR="00C96348" w:rsidRPr="00C96348" w:rsidRDefault="00C96348" w:rsidP="00C96348">
      <w:pPr>
        <w:numPr>
          <w:ilvl w:val="0"/>
          <w:numId w:val="5"/>
        </w:numPr>
      </w:pPr>
      <w:r w:rsidRPr="00C96348">
        <w:t>Manage rising healthcare costs through wellness and prevention initiatives</w:t>
      </w:r>
    </w:p>
    <w:p w14:paraId="45B751BE" w14:textId="77777777" w:rsidR="00C96348" w:rsidRPr="00C96348" w:rsidRDefault="00C96348" w:rsidP="00C96348">
      <w:pPr>
        <w:numPr>
          <w:ilvl w:val="0"/>
          <w:numId w:val="5"/>
        </w:numPr>
      </w:pPr>
      <w:r w:rsidRPr="00C96348">
        <w:t>Use employee feedback to inform benefit design</w:t>
      </w:r>
    </w:p>
    <w:p w14:paraId="24C7B8F9" w14:textId="77777777" w:rsidR="00C96348" w:rsidRPr="00C96348" w:rsidRDefault="00C96348" w:rsidP="00C96348">
      <w:pPr>
        <w:numPr>
          <w:ilvl w:val="0"/>
          <w:numId w:val="5"/>
        </w:numPr>
      </w:pPr>
      <w:r w:rsidRPr="00C96348">
        <w:t>Benchmark benefits against industry standards</w:t>
      </w:r>
    </w:p>
    <w:p w14:paraId="1D0FDEDC" w14:textId="77777777" w:rsidR="00C96348" w:rsidRPr="00C96348" w:rsidRDefault="00C96348" w:rsidP="00C96348">
      <w:r w:rsidRPr="00C96348">
        <w:t>Strategic benefits planning enhances satisfaction while managing financial sustainability.</w:t>
      </w:r>
    </w:p>
    <w:p w14:paraId="04E54C75" w14:textId="77777777" w:rsidR="00C96348" w:rsidRPr="00C96348" w:rsidRDefault="00C96348" w:rsidP="00C96348">
      <w:r w:rsidRPr="00C96348">
        <w:pict w14:anchorId="19327C61">
          <v:rect id="_x0000_i1085" style="width:0;height:1.5pt" o:hralign="center" o:hrstd="t" o:hr="t" fillcolor="#a0a0a0" stroked="f"/>
        </w:pict>
      </w:r>
    </w:p>
    <w:p w14:paraId="6BB2D042" w14:textId="77777777" w:rsidR="00C96348" w:rsidRPr="00C96348" w:rsidRDefault="00C96348" w:rsidP="00C96348">
      <w:pPr>
        <w:rPr>
          <w:b/>
          <w:bCs/>
        </w:rPr>
      </w:pPr>
      <w:r w:rsidRPr="00C96348">
        <w:rPr>
          <w:b/>
          <w:bCs/>
        </w:rPr>
        <w:lastRenderedPageBreak/>
        <w:t>Communicating Compensation &amp; Benefits</w:t>
      </w:r>
    </w:p>
    <w:p w14:paraId="45EC772D" w14:textId="77777777" w:rsidR="00C96348" w:rsidRPr="00C96348" w:rsidRDefault="00C96348" w:rsidP="00C96348">
      <w:r w:rsidRPr="00C96348">
        <w:t>Even the best compensation strategy fails without effective communication. HR should:</w:t>
      </w:r>
    </w:p>
    <w:p w14:paraId="1BA4D54A" w14:textId="77777777" w:rsidR="00C96348" w:rsidRPr="00C96348" w:rsidRDefault="00C96348" w:rsidP="00C96348">
      <w:pPr>
        <w:numPr>
          <w:ilvl w:val="0"/>
          <w:numId w:val="6"/>
        </w:numPr>
      </w:pPr>
      <w:r w:rsidRPr="00C96348">
        <w:t>Clearly explain total rewards during onboarding and reviews</w:t>
      </w:r>
    </w:p>
    <w:p w14:paraId="1D97267E" w14:textId="77777777" w:rsidR="00C96348" w:rsidRPr="00C96348" w:rsidRDefault="00C96348" w:rsidP="00C96348">
      <w:pPr>
        <w:numPr>
          <w:ilvl w:val="0"/>
          <w:numId w:val="6"/>
        </w:numPr>
      </w:pPr>
      <w:r w:rsidRPr="00C96348">
        <w:t>Provide regular updates on benefit changes and options</w:t>
      </w:r>
    </w:p>
    <w:p w14:paraId="4AAC6280" w14:textId="77777777" w:rsidR="00C96348" w:rsidRPr="00C96348" w:rsidRDefault="00C96348" w:rsidP="00C96348">
      <w:pPr>
        <w:numPr>
          <w:ilvl w:val="0"/>
          <w:numId w:val="6"/>
        </w:numPr>
      </w:pPr>
      <w:r w:rsidRPr="00C96348">
        <w:t>Train managers to have transparent pay conversations</w:t>
      </w:r>
    </w:p>
    <w:p w14:paraId="524BA137" w14:textId="77777777" w:rsidR="00C96348" w:rsidRPr="00C96348" w:rsidRDefault="00C96348" w:rsidP="00C96348">
      <w:pPr>
        <w:numPr>
          <w:ilvl w:val="0"/>
          <w:numId w:val="6"/>
        </w:numPr>
      </w:pPr>
      <w:r w:rsidRPr="00C96348">
        <w:t>Use digital tools to visualize total compensation value</w:t>
      </w:r>
    </w:p>
    <w:p w14:paraId="3A749738" w14:textId="77777777" w:rsidR="00C96348" w:rsidRPr="00C96348" w:rsidRDefault="00C96348" w:rsidP="00C96348">
      <w:r w:rsidRPr="00C96348">
        <w:t>Transparency enhances trust and reinforces perceived value.</w:t>
      </w:r>
    </w:p>
    <w:p w14:paraId="25DA09D3" w14:textId="77777777" w:rsidR="00C96348" w:rsidRPr="00C96348" w:rsidRDefault="00C96348" w:rsidP="00C96348">
      <w:r w:rsidRPr="00C96348">
        <w:pict w14:anchorId="40DA60B1">
          <v:rect id="_x0000_i1086" style="width:0;height:1.5pt" o:hralign="center" o:hrstd="t" o:hr="t" fillcolor="#a0a0a0" stroked="f"/>
        </w:pict>
      </w:r>
    </w:p>
    <w:p w14:paraId="38B7AC42" w14:textId="77777777" w:rsidR="00C96348" w:rsidRPr="00C96348" w:rsidRDefault="00C96348" w:rsidP="00C96348">
      <w:pPr>
        <w:rPr>
          <w:b/>
          <w:bCs/>
        </w:rPr>
      </w:pPr>
      <w:r w:rsidRPr="00C96348">
        <w:rPr>
          <w:b/>
          <w:bCs/>
        </w:rPr>
        <w:t>Metrics and Evaluation</w:t>
      </w:r>
    </w:p>
    <w:p w14:paraId="79583A30" w14:textId="77777777" w:rsidR="00C96348" w:rsidRPr="00C96348" w:rsidRDefault="00C96348" w:rsidP="00C96348">
      <w:r w:rsidRPr="00C96348">
        <w:t>To measure effectiveness, HR leaders should track:</w:t>
      </w:r>
    </w:p>
    <w:p w14:paraId="48BD37F3" w14:textId="77777777" w:rsidR="00C96348" w:rsidRPr="00C96348" w:rsidRDefault="00C96348" w:rsidP="00C96348">
      <w:pPr>
        <w:numPr>
          <w:ilvl w:val="0"/>
          <w:numId w:val="7"/>
        </w:numPr>
      </w:pPr>
      <w:r w:rsidRPr="00C96348">
        <w:t>Compensation-to-revenue ratio</w:t>
      </w:r>
    </w:p>
    <w:p w14:paraId="1E185081" w14:textId="77777777" w:rsidR="00C96348" w:rsidRPr="00C96348" w:rsidRDefault="00C96348" w:rsidP="00C96348">
      <w:pPr>
        <w:numPr>
          <w:ilvl w:val="0"/>
          <w:numId w:val="7"/>
        </w:numPr>
      </w:pPr>
      <w:r w:rsidRPr="00C96348">
        <w:t>Benefits utilization and cost trends</w:t>
      </w:r>
    </w:p>
    <w:p w14:paraId="25D51592" w14:textId="77777777" w:rsidR="00C96348" w:rsidRPr="00C96348" w:rsidRDefault="00C96348" w:rsidP="00C96348">
      <w:pPr>
        <w:numPr>
          <w:ilvl w:val="0"/>
          <w:numId w:val="7"/>
        </w:numPr>
      </w:pPr>
      <w:r w:rsidRPr="00C96348">
        <w:t>Turnover and retention rates by pay grade</w:t>
      </w:r>
    </w:p>
    <w:p w14:paraId="7AA9380F" w14:textId="77777777" w:rsidR="00C96348" w:rsidRPr="00C96348" w:rsidRDefault="00C96348" w:rsidP="00C96348">
      <w:pPr>
        <w:numPr>
          <w:ilvl w:val="0"/>
          <w:numId w:val="7"/>
        </w:numPr>
      </w:pPr>
      <w:r w:rsidRPr="00C96348">
        <w:t>Employee satisfaction with total rewards</w:t>
      </w:r>
    </w:p>
    <w:p w14:paraId="48D8963A" w14:textId="77777777" w:rsidR="00C96348" w:rsidRPr="00C96348" w:rsidRDefault="00C96348" w:rsidP="00C96348">
      <w:r w:rsidRPr="00C96348">
        <w:t>These metrics help refine strategy and ensure alignment with evolving workforce needs.</w:t>
      </w:r>
    </w:p>
    <w:p w14:paraId="380815CC" w14:textId="77777777" w:rsidR="00C96348" w:rsidRPr="00C96348" w:rsidRDefault="00C96348" w:rsidP="00C96348">
      <w:r w:rsidRPr="00C96348">
        <w:pict w14:anchorId="14BC3CC5">
          <v:rect id="_x0000_i1087" style="width:0;height:1.5pt" o:hralign="center" o:hrstd="t" o:hr="t" fillcolor="#a0a0a0" stroked="f"/>
        </w:pict>
      </w:r>
    </w:p>
    <w:p w14:paraId="29390E13" w14:textId="77777777" w:rsidR="00C96348" w:rsidRPr="00C96348" w:rsidRDefault="00C96348" w:rsidP="00C96348">
      <w:pPr>
        <w:rPr>
          <w:b/>
          <w:bCs/>
        </w:rPr>
      </w:pPr>
      <w:r w:rsidRPr="00C96348">
        <w:rPr>
          <w:b/>
          <w:bCs/>
        </w:rPr>
        <w:t>Conclusion</w:t>
      </w:r>
    </w:p>
    <w:p w14:paraId="0CDDB603" w14:textId="77777777" w:rsidR="00C96348" w:rsidRPr="00C96348" w:rsidRDefault="00C96348" w:rsidP="00C96348">
      <w:r w:rsidRPr="00C96348">
        <w:t xml:space="preserve">Compensation and benefits are key levers in shaping </w:t>
      </w:r>
      <w:proofErr w:type="gramStart"/>
      <w:r w:rsidRPr="00C96348">
        <w:t>the employee</w:t>
      </w:r>
      <w:proofErr w:type="gramEnd"/>
      <w:r w:rsidRPr="00C96348">
        <w:t xml:space="preserve"> experience and driving organizational success. Senior HR professionals must design total rewards strategies that are equitable, competitive, and aligned with business goals. By doing so, they not only attract top talent but also build a motivated and loyal workforce prepared to deliver exceptional results.</w:t>
      </w:r>
    </w:p>
    <w:p w14:paraId="3CFD563A" w14:textId="77777777" w:rsidR="005568C0" w:rsidRDefault="005568C0"/>
    <w:sectPr w:rsidR="005568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FC3403"/>
    <w:multiLevelType w:val="multilevel"/>
    <w:tmpl w:val="2244F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F1C5132"/>
    <w:multiLevelType w:val="multilevel"/>
    <w:tmpl w:val="47E47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646E21"/>
    <w:multiLevelType w:val="multilevel"/>
    <w:tmpl w:val="91945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CE233CB"/>
    <w:multiLevelType w:val="multilevel"/>
    <w:tmpl w:val="43C68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6E51F4E"/>
    <w:multiLevelType w:val="multilevel"/>
    <w:tmpl w:val="7BAE5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A9A5635"/>
    <w:multiLevelType w:val="multilevel"/>
    <w:tmpl w:val="02A49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2126CED"/>
    <w:multiLevelType w:val="multilevel"/>
    <w:tmpl w:val="120A7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27502358">
    <w:abstractNumId w:val="0"/>
  </w:num>
  <w:num w:numId="2" w16cid:durableId="67843955">
    <w:abstractNumId w:val="4"/>
  </w:num>
  <w:num w:numId="3" w16cid:durableId="753208292">
    <w:abstractNumId w:val="5"/>
  </w:num>
  <w:num w:numId="4" w16cid:durableId="1295021881">
    <w:abstractNumId w:val="1"/>
  </w:num>
  <w:num w:numId="5" w16cid:durableId="1822191585">
    <w:abstractNumId w:val="2"/>
  </w:num>
  <w:num w:numId="6" w16cid:durableId="665598987">
    <w:abstractNumId w:val="3"/>
  </w:num>
  <w:num w:numId="7" w16cid:durableId="4236906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78C"/>
    <w:rsid w:val="000516D7"/>
    <w:rsid w:val="003C0FCC"/>
    <w:rsid w:val="005568C0"/>
    <w:rsid w:val="005809FA"/>
    <w:rsid w:val="00C96348"/>
    <w:rsid w:val="00E0378C"/>
    <w:rsid w:val="00F351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F3FCE"/>
  <w15:chartTrackingRefBased/>
  <w15:docId w15:val="{9C878E5D-95A3-4385-81EC-BF77D6AC9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037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037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0378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0378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0378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0378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0378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0378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0378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378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0378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0378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0378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0378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0378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0378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0378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0378C"/>
    <w:rPr>
      <w:rFonts w:eastAsiaTheme="majorEastAsia" w:cstheme="majorBidi"/>
      <w:color w:val="272727" w:themeColor="text1" w:themeTint="D8"/>
    </w:rPr>
  </w:style>
  <w:style w:type="paragraph" w:styleId="Title">
    <w:name w:val="Title"/>
    <w:basedOn w:val="Normal"/>
    <w:next w:val="Normal"/>
    <w:link w:val="TitleChar"/>
    <w:uiPriority w:val="10"/>
    <w:qFormat/>
    <w:rsid w:val="00E037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0378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0378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0378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0378C"/>
    <w:pPr>
      <w:spacing w:before="160"/>
      <w:jc w:val="center"/>
    </w:pPr>
    <w:rPr>
      <w:i/>
      <w:iCs/>
      <w:color w:val="404040" w:themeColor="text1" w:themeTint="BF"/>
    </w:rPr>
  </w:style>
  <w:style w:type="character" w:customStyle="1" w:styleId="QuoteChar">
    <w:name w:val="Quote Char"/>
    <w:basedOn w:val="DefaultParagraphFont"/>
    <w:link w:val="Quote"/>
    <w:uiPriority w:val="29"/>
    <w:rsid w:val="00E0378C"/>
    <w:rPr>
      <w:i/>
      <w:iCs/>
      <w:color w:val="404040" w:themeColor="text1" w:themeTint="BF"/>
    </w:rPr>
  </w:style>
  <w:style w:type="paragraph" w:styleId="ListParagraph">
    <w:name w:val="List Paragraph"/>
    <w:basedOn w:val="Normal"/>
    <w:uiPriority w:val="34"/>
    <w:qFormat/>
    <w:rsid w:val="00E0378C"/>
    <w:pPr>
      <w:ind w:left="720"/>
      <w:contextualSpacing/>
    </w:pPr>
  </w:style>
  <w:style w:type="character" w:styleId="IntenseEmphasis">
    <w:name w:val="Intense Emphasis"/>
    <w:basedOn w:val="DefaultParagraphFont"/>
    <w:uiPriority w:val="21"/>
    <w:qFormat/>
    <w:rsid w:val="00E0378C"/>
    <w:rPr>
      <w:i/>
      <w:iCs/>
      <w:color w:val="0F4761" w:themeColor="accent1" w:themeShade="BF"/>
    </w:rPr>
  </w:style>
  <w:style w:type="paragraph" w:styleId="IntenseQuote">
    <w:name w:val="Intense Quote"/>
    <w:basedOn w:val="Normal"/>
    <w:next w:val="Normal"/>
    <w:link w:val="IntenseQuoteChar"/>
    <w:uiPriority w:val="30"/>
    <w:qFormat/>
    <w:rsid w:val="00E037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0378C"/>
    <w:rPr>
      <w:i/>
      <w:iCs/>
      <w:color w:val="0F4761" w:themeColor="accent1" w:themeShade="BF"/>
    </w:rPr>
  </w:style>
  <w:style w:type="character" w:styleId="IntenseReference">
    <w:name w:val="Intense Reference"/>
    <w:basedOn w:val="DefaultParagraphFont"/>
    <w:uiPriority w:val="32"/>
    <w:qFormat/>
    <w:rsid w:val="00E037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8103479">
      <w:bodyDiv w:val="1"/>
      <w:marLeft w:val="0"/>
      <w:marRight w:val="0"/>
      <w:marTop w:val="0"/>
      <w:marBottom w:val="0"/>
      <w:divBdr>
        <w:top w:val="none" w:sz="0" w:space="0" w:color="auto"/>
        <w:left w:val="none" w:sz="0" w:space="0" w:color="auto"/>
        <w:bottom w:val="none" w:sz="0" w:space="0" w:color="auto"/>
        <w:right w:val="none" w:sz="0" w:space="0" w:color="auto"/>
      </w:divBdr>
      <w:divsChild>
        <w:div w:id="2146895969">
          <w:marLeft w:val="0"/>
          <w:marRight w:val="0"/>
          <w:marTop w:val="0"/>
          <w:marBottom w:val="0"/>
          <w:divBdr>
            <w:top w:val="none" w:sz="0" w:space="0" w:color="auto"/>
            <w:left w:val="none" w:sz="0" w:space="0" w:color="auto"/>
            <w:bottom w:val="none" w:sz="0" w:space="0" w:color="auto"/>
            <w:right w:val="none" w:sz="0" w:space="0" w:color="auto"/>
          </w:divBdr>
        </w:div>
        <w:div w:id="1838492890">
          <w:marLeft w:val="0"/>
          <w:marRight w:val="0"/>
          <w:marTop w:val="0"/>
          <w:marBottom w:val="0"/>
          <w:divBdr>
            <w:top w:val="none" w:sz="0" w:space="0" w:color="auto"/>
            <w:left w:val="none" w:sz="0" w:space="0" w:color="auto"/>
            <w:bottom w:val="none" w:sz="0" w:space="0" w:color="auto"/>
            <w:right w:val="none" w:sz="0" w:space="0" w:color="auto"/>
          </w:divBdr>
        </w:div>
        <w:div w:id="416875052">
          <w:marLeft w:val="0"/>
          <w:marRight w:val="0"/>
          <w:marTop w:val="0"/>
          <w:marBottom w:val="0"/>
          <w:divBdr>
            <w:top w:val="none" w:sz="0" w:space="0" w:color="auto"/>
            <w:left w:val="none" w:sz="0" w:space="0" w:color="auto"/>
            <w:bottom w:val="none" w:sz="0" w:space="0" w:color="auto"/>
            <w:right w:val="none" w:sz="0" w:space="0" w:color="auto"/>
          </w:divBdr>
        </w:div>
        <w:div w:id="1087076786">
          <w:marLeft w:val="0"/>
          <w:marRight w:val="0"/>
          <w:marTop w:val="0"/>
          <w:marBottom w:val="0"/>
          <w:divBdr>
            <w:top w:val="none" w:sz="0" w:space="0" w:color="auto"/>
            <w:left w:val="none" w:sz="0" w:space="0" w:color="auto"/>
            <w:bottom w:val="none" w:sz="0" w:space="0" w:color="auto"/>
            <w:right w:val="none" w:sz="0" w:space="0" w:color="auto"/>
          </w:divBdr>
        </w:div>
        <w:div w:id="17050219">
          <w:marLeft w:val="0"/>
          <w:marRight w:val="0"/>
          <w:marTop w:val="0"/>
          <w:marBottom w:val="0"/>
          <w:divBdr>
            <w:top w:val="none" w:sz="0" w:space="0" w:color="auto"/>
            <w:left w:val="none" w:sz="0" w:space="0" w:color="auto"/>
            <w:bottom w:val="none" w:sz="0" w:space="0" w:color="auto"/>
            <w:right w:val="none" w:sz="0" w:space="0" w:color="auto"/>
          </w:divBdr>
        </w:div>
        <w:div w:id="492794185">
          <w:marLeft w:val="0"/>
          <w:marRight w:val="0"/>
          <w:marTop w:val="0"/>
          <w:marBottom w:val="0"/>
          <w:divBdr>
            <w:top w:val="none" w:sz="0" w:space="0" w:color="auto"/>
            <w:left w:val="none" w:sz="0" w:space="0" w:color="auto"/>
            <w:bottom w:val="none" w:sz="0" w:space="0" w:color="auto"/>
            <w:right w:val="none" w:sz="0" w:space="0" w:color="auto"/>
          </w:divBdr>
        </w:div>
        <w:div w:id="2082176265">
          <w:marLeft w:val="0"/>
          <w:marRight w:val="0"/>
          <w:marTop w:val="0"/>
          <w:marBottom w:val="0"/>
          <w:divBdr>
            <w:top w:val="none" w:sz="0" w:space="0" w:color="auto"/>
            <w:left w:val="none" w:sz="0" w:space="0" w:color="auto"/>
            <w:bottom w:val="none" w:sz="0" w:space="0" w:color="auto"/>
            <w:right w:val="none" w:sz="0" w:space="0" w:color="auto"/>
          </w:divBdr>
        </w:div>
        <w:div w:id="1998534596">
          <w:marLeft w:val="0"/>
          <w:marRight w:val="0"/>
          <w:marTop w:val="0"/>
          <w:marBottom w:val="0"/>
          <w:divBdr>
            <w:top w:val="none" w:sz="0" w:space="0" w:color="auto"/>
            <w:left w:val="none" w:sz="0" w:space="0" w:color="auto"/>
            <w:bottom w:val="none" w:sz="0" w:space="0" w:color="auto"/>
            <w:right w:val="none" w:sz="0" w:space="0" w:color="auto"/>
          </w:divBdr>
        </w:div>
        <w:div w:id="1412119173">
          <w:marLeft w:val="0"/>
          <w:marRight w:val="0"/>
          <w:marTop w:val="0"/>
          <w:marBottom w:val="0"/>
          <w:divBdr>
            <w:top w:val="none" w:sz="0" w:space="0" w:color="auto"/>
            <w:left w:val="none" w:sz="0" w:space="0" w:color="auto"/>
            <w:bottom w:val="none" w:sz="0" w:space="0" w:color="auto"/>
            <w:right w:val="none" w:sz="0" w:space="0" w:color="auto"/>
          </w:divBdr>
        </w:div>
      </w:divsChild>
    </w:div>
    <w:div w:id="1054506367">
      <w:bodyDiv w:val="1"/>
      <w:marLeft w:val="0"/>
      <w:marRight w:val="0"/>
      <w:marTop w:val="0"/>
      <w:marBottom w:val="0"/>
      <w:divBdr>
        <w:top w:val="none" w:sz="0" w:space="0" w:color="auto"/>
        <w:left w:val="none" w:sz="0" w:space="0" w:color="auto"/>
        <w:bottom w:val="none" w:sz="0" w:space="0" w:color="auto"/>
        <w:right w:val="none" w:sz="0" w:space="0" w:color="auto"/>
      </w:divBdr>
      <w:divsChild>
        <w:div w:id="1951929102">
          <w:marLeft w:val="0"/>
          <w:marRight w:val="0"/>
          <w:marTop w:val="0"/>
          <w:marBottom w:val="0"/>
          <w:divBdr>
            <w:top w:val="none" w:sz="0" w:space="0" w:color="auto"/>
            <w:left w:val="none" w:sz="0" w:space="0" w:color="auto"/>
            <w:bottom w:val="none" w:sz="0" w:space="0" w:color="auto"/>
            <w:right w:val="none" w:sz="0" w:space="0" w:color="auto"/>
          </w:divBdr>
        </w:div>
        <w:div w:id="218395867">
          <w:marLeft w:val="0"/>
          <w:marRight w:val="0"/>
          <w:marTop w:val="0"/>
          <w:marBottom w:val="0"/>
          <w:divBdr>
            <w:top w:val="none" w:sz="0" w:space="0" w:color="auto"/>
            <w:left w:val="none" w:sz="0" w:space="0" w:color="auto"/>
            <w:bottom w:val="none" w:sz="0" w:space="0" w:color="auto"/>
            <w:right w:val="none" w:sz="0" w:space="0" w:color="auto"/>
          </w:divBdr>
        </w:div>
        <w:div w:id="1779107232">
          <w:marLeft w:val="0"/>
          <w:marRight w:val="0"/>
          <w:marTop w:val="0"/>
          <w:marBottom w:val="0"/>
          <w:divBdr>
            <w:top w:val="none" w:sz="0" w:space="0" w:color="auto"/>
            <w:left w:val="none" w:sz="0" w:space="0" w:color="auto"/>
            <w:bottom w:val="none" w:sz="0" w:space="0" w:color="auto"/>
            <w:right w:val="none" w:sz="0" w:space="0" w:color="auto"/>
          </w:divBdr>
        </w:div>
        <w:div w:id="77868969">
          <w:marLeft w:val="0"/>
          <w:marRight w:val="0"/>
          <w:marTop w:val="0"/>
          <w:marBottom w:val="0"/>
          <w:divBdr>
            <w:top w:val="none" w:sz="0" w:space="0" w:color="auto"/>
            <w:left w:val="none" w:sz="0" w:space="0" w:color="auto"/>
            <w:bottom w:val="none" w:sz="0" w:space="0" w:color="auto"/>
            <w:right w:val="none" w:sz="0" w:space="0" w:color="auto"/>
          </w:divBdr>
        </w:div>
        <w:div w:id="1442065116">
          <w:marLeft w:val="0"/>
          <w:marRight w:val="0"/>
          <w:marTop w:val="0"/>
          <w:marBottom w:val="0"/>
          <w:divBdr>
            <w:top w:val="none" w:sz="0" w:space="0" w:color="auto"/>
            <w:left w:val="none" w:sz="0" w:space="0" w:color="auto"/>
            <w:bottom w:val="none" w:sz="0" w:space="0" w:color="auto"/>
            <w:right w:val="none" w:sz="0" w:space="0" w:color="auto"/>
          </w:divBdr>
        </w:div>
        <w:div w:id="480273547">
          <w:marLeft w:val="0"/>
          <w:marRight w:val="0"/>
          <w:marTop w:val="0"/>
          <w:marBottom w:val="0"/>
          <w:divBdr>
            <w:top w:val="none" w:sz="0" w:space="0" w:color="auto"/>
            <w:left w:val="none" w:sz="0" w:space="0" w:color="auto"/>
            <w:bottom w:val="none" w:sz="0" w:space="0" w:color="auto"/>
            <w:right w:val="none" w:sz="0" w:space="0" w:color="auto"/>
          </w:divBdr>
        </w:div>
        <w:div w:id="1301959838">
          <w:marLeft w:val="0"/>
          <w:marRight w:val="0"/>
          <w:marTop w:val="0"/>
          <w:marBottom w:val="0"/>
          <w:divBdr>
            <w:top w:val="none" w:sz="0" w:space="0" w:color="auto"/>
            <w:left w:val="none" w:sz="0" w:space="0" w:color="auto"/>
            <w:bottom w:val="none" w:sz="0" w:space="0" w:color="auto"/>
            <w:right w:val="none" w:sz="0" w:space="0" w:color="auto"/>
          </w:divBdr>
        </w:div>
        <w:div w:id="981688907">
          <w:marLeft w:val="0"/>
          <w:marRight w:val="0"/>
          <w:marTop w:val="0"/>
          <w:marBottom w:val="0"/>
          <w:divBdr>
            <w:top w:val="none" w:sz="0" w:space="0" w:color="auto"/>
            <w:left w:val="none" w:sz="0" w:space="0" w:color="auto"/>
            <w:bottom w:val="none" w:sz="0" w:space="0" w:color="auto"/>
            <w:right w:val="none" w:sz="0" w:space="0" w:color="auto"/>
          </w:divBdr>
        </w:div>
        <w:div w:id="2634616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578</Words>
  <Characters>3299</Characters>
  <Application>Microsoft Office Word</Application>
  <DocSecurity>0</DocSecurity>
  <Lines>27</Lines>
  <Paragraphs>7</Paragraphs>
  <ScaleCrop>false</ScaleCrop>
  <Company/>
  <LinksUpToDate>false</LinksUpToDate>
  <CharactersWithSpaces>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Zack Cleghorn</dc:creator>
  <cp:keywords/>
  <dc:description/>
  <cp:lastModifiedBy>Zack Cleghorn</cp:lastModifiedBy>
  <cp:revision>2</cp:revision>
  <dcterms:created xsi:type="dcterms:W3CDTF">2025-03-21T17:28:00Z</dcterms:created>
  <dcterms:modified xsi:type="dcterms:W3CDTF">2025-03-21T17:28:00Z</dcterms:modified>
</cp:coreProperties>
</file>