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8BFB0" w14:textId="77777777" w:rsidR="00697481" w:rsidRPr="00697481" w:rsidRDefault="00697481" w:rsidP="00697481">
      <w:r w:rsidRPr="00697481">
        <w:rPr>
          <w:b/>
          <w:bCs/>
        </w:rPr>
        <w:t>Chapter 4: Organizational Culture &amp; Transformation</w:t>
      </w:r>
    </w:p>
    <w:p w14:paraId="24AE7537" w14:textId="77777777" w:rsidR="00697481" w:rsidRPr="00697481" w:rsidRDefault="00697481" w:rsidP="00697481">
      <w:r w:rsidRPr="00697481">
        <w:pict w14:anchorId="08AEDFDA">
          <v:rect id="_x0000_i1073" style="width:0;height:1.5pt" o:hralign="center" o:hrstd="t" o:hr="t" fillcolor="#a0a0a0" stroked="f"/>
        </w:pict>
      </w:r>
    </w:p>
    <w:p w14:paraId="53D39440" w14:textId="77777777" w:rsidR="00697481" w:rsidRPr="00697481" w:rsidRDefault="00697481" w:rsidP="00697481">
      <w:pPr>
        <w:rPr>
          <w:b/>
          <w:bCs/>
        </w:rPr>
      </w:pPr>
      <w:r w:rsidRPr="00697481">
        <w:rPr>
          <w:b/>
          <w:bCs/>
        </w:rPr>
        <w:t>Introduction</w:t>
      </w:r>
    </w:p>
    <w:p w14:paraId="76EB40DA" w14:textId="77777777" w:rsidR="00697481" w:rsidRPr="00697481" w:rsidRDefault="00697481" w:rsidP="00697481">
      <w:r w:rsidRPr="00697481">
        <w:t xml:space="preserve">Organizational culture is the invisible force that shapes behavior, drives performance, and defines </w:t>
      </w:r>
      <w:proofErr w:type="gramStart"/>
      <w:r w:rsidRPr="00697481">
        <w:t>the employee</w:t>
      </w:r>
      <w:proofErr w:type="gramEnd"/>
      <w:r w:rsidRPr="00697481">
        <w:t xml:space="preserve"> experience. For senior HR professionals, understanding and actively shaping culture is essential for enabling transformation, fostering innovation, and sustaining long-term success. This chapter explores how HR leaders can assess, influence, and evolve culture to align with strategic goals and navigate periods of change.</w:t>
      </w:r>
    </w:p>
    <w:p w14:paraId="3A23D0B9" w14:textId="77777777" w:rsidR="00697481" w:rsidRPr="00697481" w:rsidRDefault="00697481" w:rsidP="00697481">
      <w:r w:rsidRPr="00697481">
        <w:pict w14:anchorId="37CE560F">
          <v:rect id="_x0000_i1074" style="width:0;height:1.5pt" o:hralign="center" o:hrstd="t" o:hr="t" fillcolor="#a0a0a0" stroked="f"/>
        </w:pict>
      </w:r>
    </w:p>
    <w:p w14:paraId="0B0B27D8" w14:textId="77777777" w:rsidR="00697481" w:rsidRPr="00697481" w:rsidRDefault="00697481" w:rsidP="00697481">
      <w:pPr>
        <w:rPr>
          <w:b/>
          <w:bCs/>
        </w:rPr>
      </w:pPr>
      <w:r w:rsidRPr="00697481">
        <w:rPr>
          <w:b/>
          <w:bCs/>
        </w:rPr>
        <w:t>The Strategic Importance of Culture</w:t>
      </w:r>
    </w:p>
    <w:p w14:paraId="46044CC1" w14:textId="77777777" w:rsidR="00697481" w:rsidRPr="00697481" w:rsidRDefault="00697481" w:rsidP="00697481">
      <w:r w:rsidRPr="00697481">
        <w:t>Culture influences everything—from decision-making and leadership styles to collaboration and customer service. It impacts:</w:t>
      </w:r>
    </w:p>
    <w:p w14:paraId="2E01664D" w14:textId="77777777" w:rsidR="00697481" w:rsidRPr="00697481" w:rsidRDefault="00697481" w:rsidP="00697481">
      <w:pPr>
        <w:numPr>
          <w:ilvl w:val="0"/>
          <w:numId w:val="1"/>
        </w:numPr>
      </w:pPr>
      <w:r w:rsidRPr="00697481">
        <w:t>Employee engagement and satisfaction</w:t>
      </w:r>
    </w:p>
    <w:p w14:paraId="06BE57D1" w14:textId="77777777" w:rsidR="00697481" w:rsidRPr="00697481" w:rsidRDefault="00697481" w:rsidP="00697481">
      <w:pPr>
        <w:numPr>
          <w:ilvl w:val="0"/>
          <w:numId w:val="1"/>
        </w:numPr>
      </w:pPr>
      <w:r w:rsidRPr="00697481">
        <w:t>Talent retention and attraction</w:t>
      </w:r>
    </w:p>
    <w:p w14:paraId="4F3B971C" w14:textId="77777777" w:rsidR="00697481" w:rsidRPr="00697481" w:rsidRDefault="00697481" w:rsidP="00697481">
      <w:pPr>
        <w:numPr>
          <w:ilvl w:val="0"/>
          <w:numId w:val="1"/>
        </w:numPr>
      </w:pPr>
      <w:r w:rsidRPr="00697481">
        <w:t>Organizational agility and change readiness</w:t>
      </w:r>
    </w:p>
    <w:p w14:paraId="3C20F120" w14:textId="77777777" w:rsidR="00697481" w:rsidRPr="00697481" w:rsidRDefault="00697481" w:rsidP="00697481">
      <w:pPr>
        <w:numPr>
          <w:ilvl w:val="0"/>
          <w:numId w:val="1"/>
        </w:numPr>
      </w:pPr>
      <w:r w:rsidRPr="00697481">
        <w:t>Brand reputation and customer loyalty</w:t>
      </w:r>
    </w:p>
    <w:p w14:paraId="56CF3E4D" w14:textId="77777777" w:rsidR="00697481" w:rsidRPr="00697481" w:rsidRDefault="00697481" w:rsidP="00697481">
      <w:r w:rsidRPr="00697481">
        <w:t>A strong, healthy culture creates a competitive advantage, while a misaligned culture can hinder progress and innovation.</w:t>
      </w:r>
    </w:p>
    <w:p w14:paraId="6795FC77" w14:textId="77777777" w:rsidR="00697481" w:rsidRPr="00697481" w:rsidRDefault="00697481" w:rsidP="00697481">
      <w:r w:rsidRPr="00697481">
        <w:pict w14:anchorId="01C84935">
          <v:rect id="_x0000_i1075" style="width:0;height:1.5pt" o:hralign="center" o:hrstd="t" o:hr="t" fillcolor="#a0a0a0" stroked="f"/>
        </w:pict>
      </w:r>
    </w:p>
    <w:p w14:paraId="00036209" w14:textId="77777777" w:rsidR="00697481" w:rsidRPr="00697481" w:rsidRDefault="00697481" w:rsidP="00697481">
      <w:pPr>
        <w:rPr>
          <w:b/>
          <w:bCs/>
        </w:rPr>
      </w:pPr>
      <w:r w:rsidRPr="00697481">
        <w:rPr>
          <w:b/>
          <w:bCs/>
        </w:rPr>
        <w:t>Assessing Organizational Culture</w:t>
      </w:r>
    </w:p>
    <w:p w14:paraId="1CD4AFF7" w14:textId="77777777" w:rsidR="00697481" w:rsidRPr="00697481" w:rsidRDefault="00697481" w:rsidP="00697481">
      <w:r w:rsidRPr="00697481">
        <w:t>Before initiating transformation, HR must assess the current state of the organization’s culture. Key methods include:</w:t>
      </w:r>
    </w:p>
    <w:p w14:paraId="266F4F28" w14:textId="77777777" w:rsidR="00697481" w:rsidRPr="00697481" w:rsidRDefault="00697481" w:rsidP="00697481">
      <w:pPr>
        <w:numPr>
          <w:ilvl w:val="0"/>
          <w:numId w:val="2"/>
        </w:numPr>
      </w:pPr>
      <w:r w:rsidRPr="00697481">
        <w:t>Employee surveys and pulse checks</w:t>
      </w:r>
    </w:p>
    <w:p w14:paraId="173C6A38" w14:textId="77777777" w:rsidR="00697481" w:rsidRPr="00697481" w:rsidRDefault="00697481" w:rsidP="00697481">
      <w:pPr>
        <w:numPr>
          <w:ilvl w:val="0"/>
          <w:numId w:val="2"/>
        </w:numPr>
      </w:pPr>
      <w:r w:rsidRPr="00697481">
        <w:t>Focus groups and listening sessions</w:t>
      </w:r>
    </w:p>
    <w:p w14:paraId="03C3966A" w14:textId="77777777" w:rsidR="00697481" w:rsidRPr="00697481" w:rsidRDefault="00697481" w:rsidP="00697481">
      <w:pPr>
        <w:numPr>
          <w:ilvl w:val="0"/>
          <w:numId w:val="2"/>
        </w:numPr>
      </w:pPr>
      <w:r w:rsidRPr="00697481">
        <w:t>Culture audits and observational analysis</w:t>
      </w:r>
    </w:p>
    <w:p w14:paraId="016E14D9" w14:textId="77777777" w:rsidR="00697481" w:rsidRPr="00697481" w:rsidRDefault="00697481" w:rsidP="00697481">
      <w:pPr>
        <w:numPr>
          <w:ilvl w:val="0"/>
          <w:numId w:val="2"/>
        </w:numPr>
      </w:pPr>
      <w:r w:rsidRPr="00697481">
        <w:t>Turnover and engagement data trends</w:t>
      </w:r>
    </w:p>
    <w:p w14:paraId="77228ABA" w14:textId="77777777" w:rsidR="00697481" w:rsidRPr="00697481" w:rsidRDefault="00697481" w:rsidP="00697481">
      <w:r w:rsidRPr="00697481">
        <w:t>Understanding the gap between current and desired culture enables targeted interventions.</w:t>
      </w:r>
    </w:p>
    <w:p w14:paraId="03310B7B" w14:textId="77777777" w:rsidR="00697481" w:rsidRPr="00697481" w:rsidRDefault="00697481" w:rsidP="00697481">
      <w:r w:rsidRPr="00697481">
        <w:lastRenderedPageBreak/>
        <w:pict w14:anchorId="7BAD1BDD">
          <v:rect id="_x0000_i1076" style="width:0;height:1.5pt" o:hralign="center" o:hrstd="t" o:hr="t" fillcolor="#a0a0a0" stroked="f"/>
        </w:pict>
      </w:r>
    </w:p>
    <w:p w14:paraId="0B92255C" w14:textId="77777777" w:rsidR="00697481" w:rsidRPr="00697481" w:rsidRDefault="00697481" w:rsidP="00697481">
      <w:pPr>
        <w:rPr>
          <w:b/>
          <w:bCs/>
        </w:rPr>
      </w:pPr>
      <w:r w:rsidRPr="00697481">
        <w:rPr>
          <w:b/>
          <w:bCs/>
        </w:rPr>
        <w:t>Driving Cultural Transformation</w:t>
      </w:r>
    </w:p>
    <w:p w14:paraId="00AFEC55" w14:textId="77777777" w:rsidR="00697481" w:rsidRPr="00697481" w:rsidRDefault="00697481" w:rsidP="00697481">
      <w:r w:rsidRPr="00697481">
        <w:t>Culture change requires intentional effort, clear leadership, and consistent communication. HR plays a lead role in facilitating this shift:</w:t>
      </w:r>
    </w:p>
    <w:p w14:paraId="780A1BEF" w14:textId="77777777" w:rsidR="00697481" w:rsidRPr="00697481" w:rsidRDefault="00697481" w:rsidP="00697481">
      <w:pPr>
        <w:numPr>
          <w:ilvl w:val="0"/>
          <w:numId w:val="3"/>
        </w:numPr>
      </w:pPr>
      <w:r w:rsidRPr="00697481">
        <w:t>Align leadership behavior with cultural values</w:t>
      </w:r>
    </w:p>
    <w:p w14:paraId="36DE9112" w14:textId="77777777" w:rsidR="00697481" w:rsidRPr="00697481" w:rsidRDefault="00697481" w:rsidP="00697481">
      <w:pPr>
        <w:numPr>
          <w:ilvl w:val="0"/>
          <w:numId w:val="3"/>
        </w:numPr>
      </w:pPr>
      <w:r w:rsidRPr="00697481">
        <w:t>Embed desired behaviors into performance management</w:t>
      </w:r>
    </w:p>
    <w:p w14:paraId="13703795" w14:textId="77777777" w:rsidR="00697481" w:rsidRPr="00697481" w:rsidRDefault="00697481" w:rsidP="00697481">
      <w:pPr>
        <w:numPr>
          <w:ilvl w:val="0"/>
          <w:numId w:val="3"/>
        </w:numPr>
      </w:pPr>
      <w:r w:rsidRPr="00697481">
        <w:t>Reinforce cultural norms through recognition and storytelling</w:t>
      </w:r>
    </w:p>
    <w:p w14:paraId="53111303" w14:textId="77777777" w:rsidR="00697481" w:rsidRPr="00697481" w:rsidRDefault="00697481" w:rsidP="00697481">
      <w:pPr>
        <w:numPr>
          <w:ilvl w:val="0"/>
          <w:numId w:val="3"/>
        </w:numPr>
      </w:pPr>
      <w:r w:rsidRPr="00697481">
        <w:t>Address legacy systems and structures that conflict with desired culture</w:t>
      </w:r>
    </w:p>
    <w:p w14:paraId="511349A8" w14:textId="77777777" w:rsidR="00697481" w:rsidRPr="00697481" w:rsidRDefault="00697481" w:rsidP="00697481">
      <w:r w:rsidRPr="00697481">
        <w:t>Transformation is a long-term commitment that requires sustained leadership and stakeholder engagement.</w:t>
      </w:r>
    </w:p>
    <w:p w14:paraId="6BFD9DA0" w14:textId="77777777" w:rsidR="00697481" w:rsidRPr="00697481" w:rsidRDefault="00697481" w:rsidP="00697481">
      <w:r w:rsidRPr="00697481">
        <w:pict w14:anchorId="3B12F489">
          <v:rect id="_x0000_i1077" style="width:0;height:1.5pt" o:hralign="center" o:hrstd="t" o:hr="t" fillcolor="#a0a0a0" stroked="f"/>
        </w:pict>
      </w:r>
    </w:p>
    <w:p w14:paraId="7B94FD08" w14:textId="77777777" w:rsidR="00697481" w:rsidRPr="00697481" w:rsidRDefault="00697481" w:rsidP="00697481">
      <w:pPr>
        <w:rPr>
          <w:b/>
          <w:bCs/>
        </w:rPr>
      </w:pPr>
      <w:r w:rsidRPr="00697481">
        <w:rPr>
          <w:b/>
          <w:bCs/>
        </w:rPr>
        <w:t>Diversity, Equity, Inclusion, and Belonging (DEIB)</w:t>
      </w:r>
    </w:p>
    <w:p w14:paraId="1DBC0A21" w14:textId="77777777" w:rsidR="00697481" w:rsidRPr="00697481" w:rsidRDefault="00697481" w:rsidP="00697481">
      <w:r w:rsidRPr="00697481">
        <w:t>A thriving organizational culture must prioritize DEIB. Senior HR leaders are responsible for creating environments where all employees feel safe, valued, and empowered.</w:t>
      </w:r>
    </w:p>
    <w:p w14:paraId="51DD4EF5" w14:textId="77777777" w:rsidR="00697481" w:rsidRPr="00697481" w:rsidRDefault="00697481" w:rsidP="00697481">
      <w:r w:rsidRPr="00697481">
        <w:t>Core DEIB strategies include:</w:t>
      </w:r>
    </w:p>
    <w:p w14:paraId="322AE4F9" w14:textId="77777777" w:rsidR="00697481" w:rsidRPr="00697481" w:rsidRDefault="00697481" w:rsidP="00697481">
      <w:pPr>
        <w:numPr>
          <w:ilvl w:val="0"/>
          <w:numId w:val="4"/>
        </w:numPr>
      </w:pPr>
      <w:r w:rsidRPr="00697481">
        <w:t>Establishing inclusive hiring and promotion practices</w:t>
      </w:r>
    </w:p>
    <w:p w14:paraId="329EE160" w14:textId="77777777" w:rsidR="00697481" w:rsidRPr="00697481" w:rsidRDefault="00697481" w:rsidP="00697481">
      <w:pPr>
        <w:numPr>
          <w:ilvl w:val="0"/>
          <w:numId w:val="4"/>
        </w:numPr>
      </w:pPr>
      <w:r w:rsidRPr="00697481">
        <w:t>Conducting pay equity and bias audits</w:t>
      </w:r>
    </w:p>
    <w:p w14:paraId="1438ED34" w14:textId="77777777" w:rsidR="00697481" w:rsidRPr="00697481" w:rsidRDefault="00697481" w:rsidP="00697481">
      <w:pPr>
        <w:numPr>
          <w:ilvl w:val="0"/>
          <w:numId w:val="4"/>
        </w:numPr>
      </w:pPr>
      <w:r w:rsidRPr="00697481">
        <w:t>Creating employee resource groups (ERGs)</w:t>
      </w:r>
    </w:p>
    <w:p w14:paraId="66F0A8BF" w14:textId="77777777" w:rsidR="00697481" w:rsidRPr="00697481" w:rsidRDefault="00697481" w:rsidP="00697481">
      <w:pPr>
        <w:numPr>
          <w:ilvl w:val="0"/>
          <w:numId w:val="4"/>
        </w:numPr>
      </w:pPr>
      <w:r w:rsidRPr="00697481">
        <w:t>Offering DEIB training and accountability measures</w:t>
      </w:r>
    </w:p>
    <w:p w14:paraId="3986A4D1" w14:textId="77777777" w:rsidR="00697481" w:rsidRPr="00697481" w:rsidRDefault="00697481" w:rsidP="00697481">
      <w:r w:rsidRPr="00697481">
        <w:t xml:space="preserve">DEIB is not a one-time </w:t>
      </w:r>
      <w:proofErr w:type="gramStart"/>
      <w:r w:rsidRPr="00697481">
        <w:t>initiative—</w:t>
      </w:r>
      <w:proofErr w:type="gramEnd"/>
      <w:r w:rsidRPr="00697481">
        <w:t>it is embedded in daily decisions, behaviors, and leadership practices.</w:t>
      </w:r>
    </w:p>
    <w:p w14:paraId="7D6DC24F" w14:textId="77777777" w:rsidR="00697481" w:rsidRPr="00697481" w:rsidRDefault="00697481" w:rsidP="00697481">
      <w:r w:rsidRPr="00697481">
        <w:pict w14:anchorId="613BF0ED">
          <v:rect id="_x0000_i1078" style="width:0;height:1.5pt" o:hralign="center" o:hrstd="t" o:hr="t" fillcolor="#a0a0a0" stroked="f"/>
        </w:pict>
      </w:r>
    </w:p>
    <w:p w14:paraId="76C44F7A" w14:textId="77777777" w:rsidR="00697481" w:rsidRPr="00697481" w:rsidRDefault="00697481" w:rsidP="00697481">
      <w:pPr>
        <w:rPr>
          <w:b/>
          <w:bCs/>
        </w:rPr>
      </w:pPr>
      <w:r w:rsidRPr="00697481">
        <w:rPr>
          <w:b/>
          <w:bCs/>
        </w:rPr>
        <w:t>Leading Through Values and Vision</w:t>
      </w:r>
    </w:p>
    <w:p w14:paraId="6429E20C" w14:textId="77777777" w:rsidR="00697481" w:rsidRPr="00697481" w:rsidRDefault="00697481" w:rsidP="00697481">
      <w:r w:rsidRPr="00697481">
        <w:t xml:space="preserve">To influence culture, HR must anchor </w:t>
      </w:r>
      <w:proofErr w:type="gramStart"/>
      <w:r w:rsidRPr="00697481">
        <w:t>people</w:t>
      </w:r>
      <w:proofErr w:type="gramEnd"/>
      <w:r w:rsidRPr="00697481">
        <w:t xml:space="preserve"> practices to the organization's core values and long-term vision. This involves:</w:t>
      </w:r>
    </w:p>
    <w:p w14:paraId="35D1C166" w14:textId="77777777" w:rsidR="00697481" w:rsidRPr="00697481" w:rsidRDefault="00697481" w:rsidP="00697481">
      <w:pPr>
        <w:numPr>
          <w:ilvl w:val="0"/>
          <w:numId w:val="5"/>
        </w:numPr>
      </w:pPr>
      <w:r w:rsidRPr="00697481">
        <w:t>Defining and communicating core values at every level</w:t>
      </w:r>
    </w:p>
    <w:p w14:paraId="4AF53421" w14:textId="77777777" w:rsidR="00697481" w:rsidRPr="00697481" w:rsidRDefault="00697481" w:rsidP="00697481">
      <w:pPr>
        <w:numPr>
          <w:ilvl w:val="0"/>
          <w:numId w:val="5"/>
        </w:numPr>
      </w:pPr>
      <w:r w:rsidRPr="00697481">
        <w:t>Modeling behaviors that reflect those values</w:t>
      </w:r>
    </w:p>
    <w:p w14:paraId="3BDDBA2B" w14:textId="77777777" w:rsidR="00697481" w:rsidRPr="00697481" w:rsidRDefault="00697481" w:rsidP="00697481">
      <w:pPr>
        <w:numPr>
          <w:ilvl w:val="0"/>
          <w:numId w:val="5"/>
        </w:numPr>
      </w:pPr>
      <w:r w:rsidRPr="00697481">
        <w:lastRenderedPageBreak/>
        <w:t xml:space="preserve">Recognizing employees who </w:t>
      </w:r>
      <w:proofErr w:type="gramStart"/>
      <w:r w:rsidRPr="00697481">
        <w:t>live the values</w:t>
      </w:r>
      <w:proofErr w:type="gramEnd"/>
    </w:p>
    <w:p w14:paraId="443BD7D7" w14:textId="77777777" w:rsidR="00697481" w:rsidRPr="00697481" w:rsidRDefault="00697481" w:rsidP="00697481">
      <w:pPr>
        <w:numPr>
          <w:ilvl w:val="0"/>
          <w:numId w:val="5"/>
        </w:numPr>
      </w:pPr>
      <w:r w:rsidRPr="00697481">
        <w:t>Using the vision to inspire purpose-driven work</w:t>
      </w:r>
    </w:p>
    <w:p w14:paraId="46D4333D" w14:textId="77777777" w:rsidR="00697481" w:rsidRPr="00697481" w:rsidRDefault="00697481" w:rsidP="00697481">
      <w:r w:rsidRPr="00697481">
        <w:t>When values and vision are aligned with daily operations, culture becomes a driver of performance.</w:t>
      </w:r>
    </w:p>
    <w:p w14:paraId="55BE86B9" w14:textId="77777777" w:rsidR="00697481" w:rsidRPr="00697481" w:rsidRDefault="00697481" w:rsidP="00697481">
      <w:r w:rsidRPr="00697481">
        <w:pict w14:anchorId="5396A709">
          <v:rect id="_x0000_i1079" style="width:0;height:1.5pt" o:hralign="center" o:hrstd="t" o:hr="t" fillcolor="#a0a0a0" stroked="f"/>
        </w:pict>
      </w:r>
    </w:p>
    <w:p w14:paraId="09433FB3" w14:textId="77777777" w:rsidR="00697481" w:rsidRPr="00697481" w:rsidRDefault="00697481" w:rsidP="00697481">
      <w:pPr>
        <w:rPr>
          <w:b/>
          <w:bCs/>
        </w:rPr>
      </w:pPr>
      <w:r w:rsidRPr="00697481">
        <w:rPr>
          <w:b/>
          <w:bCs/>
        </w:rPr>
        <w:t>Managing Cultural Integration in Mergers and Acquisitions</w:t>
      </w:r>
    </w:p>
    <w:p w14:paraId="73EF7D5B" w14:textId="77777777" w:rsidR="00697481" w:rsidRPr="00697481" w:rsidRDefault="00697481" w:rsidP="00697481">
      <w:r w:rsidRPr="00697481">
        <w:t>Mergers, acquisitions, and rapid scaling efforts often bring together differing organizational cultures. HR must lead efforts to:</w:t>
      </w:r>
    </w:p>
    <w:p w14:paraId="45A90944" w14:textId="77777777" w:rsidR="00697481" w:rsidRPr="00697481" w:rsidRDefault="00697481" w:rsidP="00697481">
      <w:pPr>
        <w:numPr>
          <w:ilvl w:val="0"/>
          <w:numId w:val="6"/>
        </w:numPr>
      </w:pPr>
      <w:r w:rsidRPr="00697481">
        <w:t>Assess cultural compatibility during due diligence</w:t>
      </w:r>
    </w:p>
    <w:p w14:paraId="00D53D44" w14:textId="77777777" w:rsidR="00697481" w:rsidRPr="00697481" w:rsidRDefault="00697481" w:rsidP="00697481">
      <w:pPr>
        <w:numPr>
          <w:ilvl w:val="0"/>
          <w:numId w:val="6"/>
        </w:numPr>
      </w:pPr>
      <w:r w:rsidRPr="00697481">
        <w:t>Identify cultural risks and points of alignment</w:t>
      </w:r>
    </w:p>
    <w:p w14:paraId="0F9BF8BA" w14:textId="77777777" w:rsidR="00697481" w:rsidRPr="00697481" w:rsidRDefault="00697481" w:rsidP="00697481">
      <w:pPr>
        <w:numPr>
          <w:ilvl w:val="0"/>
          <w:numId w:val="6"/>
        </w:numPr>
      </w:pPr>
      <w:r w:rsidRPr="00697481">
        <w:t>Facilitate dialogue between merging teams</w:t>
      </w:r>
    </w:p>
    <w:p w14:paraId="6DA1B2B0" w14:textId="77777777" w:rsidR="00697481" w:rsidRPr="00697481" w:rsidRDefault="00697481" w:rsidP="00697481">
      <w:pPr>
        <w:numPr>
          <w:ilvl w:val="0"/>
          <w:numId w:val="6"/>
        </w:numPr>
      </w:pPr>
      <w:r w:rsidRPr="00697481">
        <w:t>Design a unified culture roadmap post-integration</w:t>
      </w:r>
    </w:p>
    <w:p w14:paraId="6F50FB57" w14:textId="77777777" w:rsidR="00697481" w:rsidRPr="00697481" w:rsidRDefault="00697481" w:rsidP="00697481">
      <w:r w:rsidRPr="00697481">
        <w:t>Cultural integration can be the difference between M&amp;A success and failure.</w:t>
      </w:r>
    </w:p>
    <w:p w14:paraId="10C72255" w14:textId="77777777" w:rsidR="00697481" w:rsidRPr="00697481" w:rsidRDefault="00697481" w:rsidP="00697481">
      <w:r w:rsidRPr="00697481">
        <w:pict w14:anchorId="5592F689">
          <v:rect id="_x0000_i1080" style="width:0;height:1.5pt" o:hralign="center" o:hrstd="t" o:hr="t" fillcolor="#a0a0a0" stroked="f"/>
        </w:pict>
      </w:r>
    </w:p>
    <w:p w14:paraId="427CD5BE" w14:textId="77777777" w:rsidR="00697481" w:rsidRPr="00697481" w:rsidRDefault="00697481" w:rsidP="00697481">
      <w:pPr>
        <w:rPr>
          <w:b/>
          <w:bCs/>
        </w:rPr>
      </w:pPr>
      <w:r w:rsidRPr="00697481">
        <w:rPr>
          <w:b/>
          <w:bCs/>
        </w:rPr>
        <w:t>Conclusion</w:t>
      </w:r>
    </w:p>
    <w:p w14:paraId="4A20C313" w14:textId="77777777" w:rsidR="00697481" w:rsidRPr="00697481" w:rsidRDefault="00697481" w:rsidP="00697481">
      <w:r w:rsidRPr="00697481">
        <w:t xml:space="preserve">Organizational culture is both a reflection of the past and a vision for the future. Senior HR professionals must act as culture architects—assessing current norms, leading change, and reinforcing values that align with the organization’s mission. By taking a proactive and strategic approach, HR can build cultures that inspire, </w:t>
      </w:r>
      <w:proofErr w:type="gramStart"/>
      <w:r w:rsidRPr="00697481">
        <w:t>include</w:t>
      </w:r>
      <w:proofErr w:type="gramEnd"/>
      <w:r w:rsidRPr="00697481">
        <w:t>, and evolve.</w:t>
      </w:r>
    </w:p>
    <w:p w14:paraId="091FECD3" w14:textId="77777777" w:rsidR="005568C0" w:rsidRDefault="005568C0"/>
    <w:sectPr w:rsidR="00556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5736C"/>
    <w:multiLevelType w:val="multilevel"/>
    <w:tmpl w:val="6FFED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7761C9"/>
    <w:multiLevelType w:val="multilevel"/>
    <w:tmpl w:val="2B64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0A72BD"/>
    <w:multiLevelType w:val="multilevel"/>
    <w:tmpl w:val="035AD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DE6069"/>
    <w:multiLevelType w:val="multilevel"/>
    <w:tmpl w:val="D90E8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7E0076"/>
    <w:multiLevelType w:val="multilevel"/>
    <w:tmpl w:val="DDC6A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9264FE"/>
    <w:multiLevelType w:val="multilevel"/>
    <w:tmpl w:val="5088D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4286603">
    <w:abstractNumId w:val="4"/>
  </w:num>
  <w:num w:numId="2" w16cid:durableId="1218472409">
    <w:abstractNumId w:val="1"/>
  </w:num>
  <w:num w:numId="3" w16cid:durableId="1069039532">
    <w:abstractNumId w:val="0"/>
  </w:num>
  <w:num w:numId="4" w16cid:durableId="1156066463">
    <w:abstractNumId w:val="3"/>
  </w:num>
  <w:num w:numId="5" w16cid:durableId="1672639460">
    <w:abstractNumId w:val="5"/>
  </w:num>
  <w:num w:numId="6" w16cid:durableId="15800908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E2"/>
    <w:rsid w:val="000516D7"/>
    <w:rsid w:val="003C0FCC"/>
    <w:rsid w:val="005568C0"/>
    <w:rsid w:val="005809FA"/>
    <w:rsid w:val="00697481"/>
    <w:rsid w:val="00CC5EE2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98099"/>
  <w15:chartTrackingRefBased/>
  <w15:docId w15:val="{FEDFA335-8E2E-4CB1-9577-49B7B0D0A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5E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5E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5E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5E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5E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5E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5E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5E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5E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5E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5E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5E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5E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5E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5E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5E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5E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5E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5E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5E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5E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5E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5E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5E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5E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5E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5E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5E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5E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6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6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3111</Characters>
  <Application>Microsoft Office Word</Application>
  <DocSecurity>0</DocSecurity>
  <Lines>25</Lines>
  <Paragraphs>7</Paragraphs>
  <ScaleCrop>false</ScaleCrop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Zack Cleghorn</dc:creator>
  <cp:keywords/>
  <dc:description/>
  <cp:lastModifiedBy>Zack Cleghorn</cp:lastModifiedBy>
  <cp:revision>2</cp:revision>
  <dcterms:created xsi:type="dcterms:W3CDTF">2025-03-21T17:26:00Z</dcterms:created>
  <dcterms:modified xsi:type="dcterms:W3CDTF">2025-03-21T17:26:00Z</dcterms:modified>
</cp:coreProperties>
</file>